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EB" w:rsidRDefault="00DC36EB" w:rsidP="00DC36EB">
      <w:bookmarkStart w:id="0" w:name="_GoBack"/>
      <w:r>
        <w:rPr>
          <w:rFonts w:ascii="Verdana" w:hAnsi="Verdana"/>
          <w:noProof/>
          <w:color w:val="000000"/>
          <w:sz w:val="16"/>
          <w:szCs w:val="16"/>
        </w:rPr>
        <w:drawing>
          <wp:inline distT="0" distB="0" distL="0" distR="0" wp14:anchorId="775D90B7" wp14:editId="5B85B6B0">
            <wp:extent cx="5953125" cy="3601641"/>
            <wp:effectExtent l="0" t="0" r="0" b="0"/>
            <wp:docPr id="1" name="Picture 1" descr="http://loedolphins.swim-team.us/team/img/158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edolphins.swim-team.us/team/img/1583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4697" cy="3608642"/>
                    </a:xfrm>
                    <a:prstGeom prst="rect">
                      <a:avLst/>
                    </a:prstGeom>
                    <a:noFill/>
                    <a:ln>
                      <a:noFill/>
                    </a:ln>
                  </pic:spPr>
                </pic:pic>
              </a:graphicData>
            </a:graphic>
          </wp:inline>
        </w:drawing>
      </w:r>
    </w:p>
    <w:bookmarkEnd w:id="0"/>
    <w:p w:rsidR="00DC36EB" w:rsidRDefault="00DC36EB" w:rsidP="00DC36EB"/>
    <w:tbl>
      <w:tblPr>
        <w:tblW w:w="5000" w:type="pct"/>
        <w:tblCellSpacing w:w="0" w:type="dxa"/>
        <w:tblBorders>
          <w:top w:val="single" w:sz="2" w:space="0" w:color="FF0000"/>
          <w:left w:val="single" w:sz="2" w:space="0" w:color="FF0000"/>
          <w:bottom w:val="single" w:sz="2" w:space="0" w:color="FF0000"/>
          <w:right w:val="single" w:sz="2" w:space="0" w:color="FF0000"/>
        </w:tblBorders>
        <w:shd w:val="clear" w:color="auto" w:fill="FFFFFF"/>
        <w:tblCellMar>
          <w:left w:w="0" w:type="dxa"/>
          <w:right w:w="0" w:type="dxa"/>
        </w:tblCellMar>
        <w:tblLook w:val="04A0" w:firstRow="1" w:lastRow="0" w:firstColumn="1" w:lastColumn="0" w:noHBand="0" w:noVBand="1"/>
      </w:tblPr>
      <w:tblGrid>
        <w:gridCol w:w="8470"/>
        <w:gridCol w:w="890"/>
      </w:tblGrid>
      <w:tr w:rsidR="00DC36EB" w:rsidTr="00DC36EB">
        <w:trPr>
          <w:tblCellSpacing w:w="0" w:type="dxa"/>
        </w:trPr>
        <w:tc>
          <w:tcPr>
            <w:tcW w:w="0" w:type="auto"/>
            <w:gridSpan w:val="2"/>
            <w:tcBorders>
              <w:top w:val="nil"/>
              <w:left w:val="nil"/>
              <w:bottom w:val="nil"/>
              <w:right w:val="nil"/>
            </w:tcBorders>
            <w:shd w:val="clear" w:color="auto" w:fill="FFFFFF"/>
            <w:hideMark/>
          </w:tcPr>
          <w:tbl>
            <w:tblPr>
              <w:tblW w:w="4750" w:type="pct"/>
              <w:tblCellSpacing w:w="0" w:type="dxa"/>
              <w:tblBorders>
                <w:top w:val="single" w:sz="2" w:space="0" w:color="FF0000"/>
                <w:left w:val="single" w:sz="2" w:space="0" w:color="FF0000"/>
                <w:bottom w:val="single" w:sz="2" w:space="0" w:color="FF0000"/>
                <w:right w:val="single" w:sz="2" w:space="0" w:color="FF0000"/>
              </w:tblBorders>
              <w:tblCellMar>
                <w:top w:w="150" w:type="dxa"/>
                <w:left w:w="300" w:type="dxa"/>
                <w:right w:w="300" w:type="dxa"/>
              </w:tblCellMar>
              <w:tblLook w:val="04A0" w:firstRow="1" w:lastRow="0" w:firstColumn="1" w:lastColumn="0" w:noHBand="0" w:noVBand="1"/>
            </w:tblPr>
            <w:tblGrid>
              <w:gridCol w:w="8286"/>
              <w:gridCol w:w="606"/>
            </w:tblGrid>
            <w:tr w:rsidR="00DC36EB">
              <w:trPr>
                <w:tblCellSpacing w:w="0" w:type="dxa"/>
              </w:trPr>
              <w:tc>
                <w:tcPr>
                  <w:tcW w:w="0" w:type="auto"/>
                  <w:tcBorders>
                    <w:top w:val="nil"/>
                    <w:left w:val="nil"/>
                    <w:bottom w:val="nil"/>
                    <w:right w:val="nil"/>
                  </w:tcBorders>
                  <w:tcMar>
                    <w:top w:w="150" w:type="dxa"/>
                    <w:left w:w="300" w:type="dxa"/>
                    <w:bottom w:w="15" w:type="dxa"/>
                    <w:right w:w="300" w:type="dxa"/>
                  </w:tcMar>
                  <w:vAlign w:val="center"/>
                  <w:hideMark/>
                </w:tcPr>
                <w:p w:rsidR="00DC36EB" w:rsidRDefault="00DC36EB">
                  <w:pPr>
                    <w:pStyle w:val="NormalWeb"/>
                    <w:rPr>
                      <w:rFonts w:ascii="Verdana" w:hAnsi="Verdana"/>
                      <w:color w:val="000000"/>
                      <w:sz w:val="16"/>
                      <w:szCs w:val="16"/>
                    </w:rPr>
                  </w:pPr>
                  <w:r>
                    <w:rPr>
                      <w:rStyle w:val="Strong"/>
                      <w:rFonts w:ascii="Verdana" w:hAnsi="Verdana"/>
                      <w:color w:val="000000"/>
                      <w:sz w:val="21"/>
                      <w:szCs w:val="21"/>
                    </w:rPr>
                    <w:t>Pool and Clubhouse Address*</w:t>
                  </w:r>
                  <w:r>
                    <w:rPr>
                      <w:rFonts w:ascii="Verdana" w:hAnsi="Verdana"/>
                      <w:color w:val="000000"/>
                      <w:sz w:val="21"/>
                      <w:szCs w:val="21"/>
                    </w:rPr>
                    <w:t>: 12750 Lake Center Run, Houston TX 77041</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rPr>
                    <w:br/>
                  </w:r>
                  <w:r>
                    <w:rPr>
                      <w:rFonts w:ascii="Verdana" w:hAnsi="Verdana"/>
                      <w:color w:val="000000"/>
                      <w:sz w:val="21"/>
                      <w:szCs w:val="21"/>
                    </w:rPr>
                    <w:t>*IMPORTANT NOTE ABOUT PARKING: The Lakes on Eldridge Homeowners Association is pleased to host our swim team. However, they are concerned that congestion is minimized for residents and that safety is maximized for everyone in the development.</w:t>
                  </w:r>
                  <w:r>
                    <w:rPr>
                      <w:rFonts w:ascii="Verdana" w:hAnsi="Verdana"/>
                      <w:color w:val="000000"/>
                      <w:sz w:val="21"/>
                      <w:szCs w:val="21"/>
                    </w:rPr>
                    <w:br/>
                  </w:r>
                  <w:r>
                    <w:rPr>
                      <w:rFonts w:ascii="Verdana" w:hAnsi="Verdana"/>
                      <w:color w:val="000000"/>
                      <w:sz w:val="21"/>
                      <w:szCs w:val="21"/>
                    </w:rPr>
                    <w:br/>
                    <w:t xml:space="preserve">Therefore, please park in designated areas only.  See the map </w:t>
                  </w:r>
                  <w:r>
                    <w:rPr>
                      <w:rFonts w:ascii="Verdana" w:hAnsi="Verdana"/>
                      <w:color w:val="000000"/>
                      <w:sz w:val="21"/>
                      <w:szCs w:val="21"/>
                    </w:rPr>
                    <w:t>above</w:t>
                  </w:r>
                  <w:r>
                    <w:rPr>
                      <w:rFonts w:ascii="Verdana" w:hAnsi="Verdana"/>
                      <w:color w:val="000000"/>
                      <w:sz w:val="21"/>
                      <w:szCs w:val="21"/>
                    </w:rPr>
                    <w:t xml:space="preserve"> with the arteries marked in green where parking is available and in red where it is not.  Parking is allowed on the LAKE SIDE portion of Lake Center Run and Lakeshore Ridge only (leaving the other lane for cars to drive on).  During swim meets, the recreation center parking lot is limited to parking pass holders only. Do not park within 15 feet of fire hydrants, 20 feet or a crosswalk or intersection, or within 30 feet of a stop sign - these are all standard Texas laws.  Please observe the 25 MPH speed limit please.  We will allow you entrance through the Visitor lane (left side) of the LOE main gate off Eldridge (circled in Yellow) on meet days - please inform the guard that you are participating in the swim meet if asked.</w:t>
                  </w:r>
                </w:p>
                <w:p w:rsidR="00DC36EB" w:rsidRDefault="00DC36EB">
                  <w:pPr>
                    <w:pStyle w:val="NormalWeb"/>
                    <w:rPr>
                      <w:rFonts w:ascii="Verdana" w:hAnsi="Verdana"/>
                      <w:color w:val="000000"/>
                      <w:sz w:val="16"/>
                      <w:szCs w:val="16"/>
                    </w:rPr>
                  </w:pPr>
                  <w:r>
                    <w:rPr>
                      <w:rFonts w:ascii="Verdana" w:hAnsi="Verdana"/>
                      <w:color w:val="000000"/>
                      <w:sz w:val="21"/>
                      <w:szCs w:val="21"/>
                    </w:rPr>
                    <w:t>A "Drop Off Zone" is available for you near the pool (dark blue area along curb near pool) to allow you to unload your gear before parking.</w:t>
                  </w:r>
                  <w:r>
                    <w:rPr>
                      <w:rFonts w:ascii="Verdana" w:hAnsi="Verdana"/>
                      <w:color w:val="000000"/>
                      <w:sz w:val="21"/>
                      <w:szCs w:val="21"/>
                    </w:rPr>
                    <w:br/>
                  </w:r>
                  <w:r>
                    <w:rPr>
                      <w:rFonts w:ascii="Verdana" w:hAnsi="Verdana"/>
                      <w:color w:val="000000"/>
                      <w:sz w:val="21"/>
                      <w:szCs w:val="21"/>
                    </w:rPr>
                    <w:br/>
                    <w:t>Parking is not allowed on side streets. Cars may be towed if parked in the red "No Parking" zone.</w:t>
                  </w:r>
                </w:p>
                <w:p w:rsidR="00DC36EB" w:rsidRDefault="00DC36EB">
                  <w:pPr>
                    <w:pStyle w:val="NormalWeb"/>
                    <w:rPr>
                      <w:rFonts w:ascii="Verdana" w:hAnsi="Verdana"/>
                      <w:color w:val="000000"/>
                      <w:sz w:val="16"/>
                      <w:szCs w:val="16"/>
                    </w:rPr>
                  </w:pPr>
                  <w:hyperlink r:id="rId6" w:history="1">
                    <w:r>
                      <w:rPr>
                        <w:rStyle w:val="Hyperlink"/>
                        <w:rFonts w:ascii="Verdana" w:hAnsi="Verdana"/>
                        <w:color w:val="333366"/>
                        <w:sz w:val="21"/>
                        <w:szCs w:val="21"/>
                        <w:u w:val="none"/>
                        <w:bdr w:val="none" w:sz="0" w:space="0" w:color="auto" w:frame="1"/>
                      </w:rPr>
                      <w:t>Parking Map</w:t>
                    </w:r>
                  </w:hyperlink>
                </w:p>
              </w:tc>
              <w:tc>
                <w:tcPr>
                  <w:tcW w:w="0" w:type="auto"/>
                  <w:vMerge w:val="restart"/>
                  <w:tcBorders>
                    <w:top w:val="nil"/>
                    <w:left w:val="nil"/>
                    <w:bottom w:val="nil"/>
                    <w:right w:val="nil"/>
                  </w:tcBorders>
                  <w:tcMar>
                    <w:top w:w="150" w:type="dxa"/>
                    <w:left w:w="300" w:type="dxa"/>
                    <w:bottom w:w="15" w:type="dxa"/>
                    <w:right w:w="300" w:type="dxa"/>
                  </w:tcMar>
                  <w:hideMark/>
                </w:tcPr>
                <w:p w:rsidR="00DC36EB" w:rsidRDefault="00DC36EB">
                  <w:pPr>
                    <w:rPr>
                      <w:rFonts w:ascii="Verdana" w:hAnsi="Verdana"/>
                      <w:color w:val="000000"/>
                      <w:sz w:val="16"/>
                      <w:szCs w:val="16"/>
                    </w:rPr>
                  </w:pPr>
                </w:p>
              </w:tc>
            </w:tr>
            <w:tr w:rsidR="00DC36EB">
              <w:trPr>
                <w:tblCellSpacing w:w="0" w:type="dxa"/>
              </w:trPr>
              <w:tc>
                <w:tcPr>
                  <w:tcW w:w="0" w:type="auto"/>
                  <w:tcBorders>
                    <w:top w:val="nil"/>
                    <w:left w:val="nil"/>
                    <w:bottom w:val="nil"/>
                    <w:right w:val="nil"/>
                  </w:tcBorders>
                  <w:tcMar>
                    <w:top w:w="150" w:type="dxa"/>
                    <w:left w:w="300" w:type="dxa"/>
                    <w:bottom w:w="15" w:type="dxa"/>
                    <w:right w:w="300" w:type="dxa"/>
                  </w:tcMar>
                  <w:vAlign w:val="center"/>
                  <w:hideMark/>
                </w:tcPr>
                <w:p w:rsidR="00DC36EB" w:rsidRDefault="00DC36EB">
                  <w:pPr>
                    <w:rPr>
                      <w:rFonts w:asciiTheme="minorHAnsi" w:hAnsiTheme="minorHAnsi"/>
                      <w:sz w:val="22"/>
                      <w:szCs w:val="22"/>
                    </w:rPr>
                  </w:pPr>
                </w:p>
              </w:tc>
              <w:tc>
                <w:tcPr>
                  <w:tcW w:w="0" w:type="auto"/>
                  <w:vMerge/>
                  <w:tcBorders>
                    <w:top w:val="nil"/>
                    <w:left w:val="nil"/>
                    <w:bottom w:val="nil"/>
                    <w:right w:val="nil"/>
                  </w:tcBorders>
                  <w:vAlign w:val="center"/>
                  <w:hideMark/>
                </w:tcPr>
                <w:p w:rsidR="00DC36EB" w:rsidRDefault="00DC36EB">
                  <w:pPr>
                    <w:rPr>
                      <w:rFonts w:ascii="Verdana" w:hAnsi="Verdana"/>
                      <w:color w:val="000000"/>
                      <w:sz w:val="16"/>
                      <w:szCs w:val="16"/>
                    </w:rPr>
                  </w:pPr>
                </w:p>
              </w:tc>
            </w:tr>
          </w:tbl>
          <w:p w:rsidR="00DC36EB" w:rsidRDefault="00DC36EB">
            <w:pPr>
              <w:rPr>
                <w:rFonts w:asciiTheme="minorHAnsi" w:hAnsiTheme="minorHAnsi"/>
                <w:sz w:val="22"/>
                <w:szCs w:val="22"/>
              </w:rPr>
            </w:pPr>
          </w:p>
        </w:tc>
      </w:tr>
      <w:tr w:rsidR="00DC36EB" w:rsidTr="00DC36EB">
        <w:trPr>
          <w:tblCellSpacing w:w="0" w:type="dxa"/>
        </w:trPr>
        <w:tc>
          <w:tcPr>
            <w:tcW w:w="0" w:type="auto"/>
            <w:tcBorders>
              <w:top w:val="nil"/>
              <w:left w:val="nil"/>
              <w:bottom w:val="nil"/>
              <w:right w:val="nil"/>
            </w:tcBorders>
            <w:shd w:val="clear" w:color="auto" w:fill="FFFFFF"/>
            <w:vAlign w:val="center"/>
            <w:hideMark/>
          </w:tcPr>
          <w:p w:rsidR="00DC36EB" w:rsidRDefault="00DC36EB">
            <w:pPr>
              <w:rPr>
                <w:rFonts w:ascii="Verdana" w:hAnsi="Verdana"/>
                <w:sz w:val="16"/>
                <w:szCs w:val="16"/>
              </w:rPr>
            </w:pPr>
            <w:r>
              <w:rPr>
                <w:rFonts w:ascii="Verdana" w:hAnsi="Verdana"/>
                <w:sz w:val="16"/>
                <w:szCs w:val="16"/>
              </w:rPr>
              <w:t> </w:t>
            </w:r>
          </w:p>
        </w:tc>
        <w:tc>
          <w:tcPr>
            <w:tcW w:w="0" w:type="auto"/>
            <w:tcBorders>
              <w:top w:val="nil"/>
              <w:left w:val="nil"/>
              <w:bottom w:val="nil"/>
              <w:right w:val="nil"/>
            </w:tcBorders>
            <w:shd w:val="clear" w:color="auto" w:fill="FFFFFF"/>
            <w:vAlign w:val="center"/>
            <w:hideMark/>
          </w:tcPr>
          <w:p w:rsidR="00DC36EB" w:rsidRDefault="00DC36EB">
            <w:pPr>
              <w:rPr>
                <w:rFonts w:asciiTheme="minorHAnsi" w:hAnsiTheme="minorHAnsi"/>
                <w:sz w:val="22"/>
                <w:szCs w:val="22"/>
              </w:rPr>
            </w:pPr>
          </w:p>
        </w:tc>
      </w:tr>
    </w:tbl>
    <w:p w:rsidR="004870F7" w:rsidRDefault="004870F7"/>
    <w:sectPr w:rsidR="004870F7" w:rsidSect="00DC36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EB"/>
    <w:rsid w:val="0016007D"/>
    <w:rsid w:val="00226044"/>
    <w:rsid w:val="004870F7"/>
    <w:rsid w:val="00DC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EB"/>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6EB"/>
    <w:rPr>
      <w:color w:val="0000FF"/>
      <w:u w:val="single"/>
    </w:rPr>
  </w:style>
  <w:style w:type="paragraph" w:styleId="NormalWeb">
    <w:name w:val="Normal (Web)"/>
    <w:basedOn w:val="Normal"/>
    <w:uiPriority w:val="99"/>
    <w:unhideWhenUsed/>
    <w:rsid w:val="00DC36EB"/>
    <w:pPr>
      <w:spacing w:before="100" w:beforeAutospacing="1" w:after="100" w:afterAutospacing="1"/>
    </w:pPr>
  </w:style>
  <w:style w:type="character" w:styleId="Strong">
    <w:name w:val="Strong"/>
    <w:basedOn w:val="DefaultParagraphFont"/>
    <w:uiPriority w:val="22"/>
    <w:qFormat/>
    <w:rsid w:val="00DC36EB"/>
    <w:rPr>
      <w:b/>
      <w:bCs/>
    </w:rPr>
  </w:style>
  <w:style w:type="paragraph" w:styleId="BalloonText">
    <w:name w:val="Balloon Text"/>
    <w:basedOn w:val="Normal"/>
    <w:link w:val="BalloonTextChar"/>
    <w:uiPriority w:val="99"/>
    <w:semiHidden/>
    <w:unhideWhenUsed/>
    <w:rsid w:val="00DC36EB"/>
    <w:rPr>
      <w:rFonts w:ascii="Tahoma" w:hAnsi="Tahoma" w:cs="Tahoma"/>
      <w:sz w:val="16"/>
      <w:szCs w:val="16"/>
    </w:rPr>
  </w:style>
  <w:style w:type="character" w:customStyle="1" w:styleId="BalloonTextChar">
    <w:name w:val="Balloon Text Char"/>
    <w:basedOn w:val="DefaultParagraphFont"/>
    <w:link w:val="BalloonText"/>
    <w:uiPriority w:val="99"/>
    <w:semiHidden/>
    <w:rsid w:val="00DC36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EB"/>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6EB"/>
    <w:rPr>
      <w:color w:val="0000FF"/>
      <w:u w:val="single"/>
    </w:rPr>
  </w:style>
  <w:style w:type="paragraph" w:styleId="NormalWeb">
    <w:name w:val="Normal (Web)"/>
    <w:basedOn w:val="Normal"/>
    <w:uiPriority w:val="99"/>
    <w:unhideWhenUsed/>
    <w:rsid w:val="00DC36EB"/>
    <w:pPr>
      <w:spacing w:before="100" w:beforeAutospacing="1" w:after="100" w:afterAutospacing="1"/>
    </w:pPr>
  </w:style>
  <w:style w:type="character" w:styleId="Strong">
    <w:name w:val="Strong"/>
    <w:basedOn w:val="DefaultParagraphFont"/>
    <w:uiPriority w:val="22"/>
    <w:qFormat/>
    <w:rsid w:val="00DC36EB"/>
    <w:rPr>
      <w:b/>
      <w:bCs/>
    </w:rPr>
  </w:style>
  <w:style w:type="paragraph" w:styleId="BalloonText">
    <w:name w:val="Balloon Text"/>
    <w:basedOn w:val="Normal"/>
    <w:link w:val="BalloonTextChar"/>
    <w:uiPriority w:val="99"/>
    <w:semiHidden/>
    <w:unhideWhenUsed/>
    <w:rsid w:val="00DC36EB"/>
    <w:rPr>
      <w:rFonts w:ascii="Tahoma" w:hAnsi="Tahoma" w:cs="Tahoma"/>
      <w:sz w:val="16"/>
      <w:szCs w:val="16"/>
    </w:rPr>
  </w:style>
  <w:style w:type="character" w:customStyle="1" w:styleId="BalloonTextChar">
    <w:name w:val="Balloon Text Char"/>
    <w:basedOn w:val="DefaultParagraphFont"/>
    <w:link w:val="BalloonText"/>
    <w:uiPriority w:val="99"/>
    <w:semiHidden/>
    <w:rsid w:val="00DC3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oedolphins.swim-team.us/team/img/158302.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 Glen C</dc:creator>
  <cp:lastModifiedBy>Orr, Glen C</cp:lastModifiedBy>
  <cp:revision>1</cp:revision>
  <dcterms:created xsi:type="dcterms:W3CDTF">2016-05-09T14:25:00Z</dcterms:created>
  <dcterms:modified xsi:type="dcterms:W3CDTF">2016-05-09T14:29:00Z</dcterms:modified>
</cp:coreProperties>
</file>